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right"/>
        <w:rPr>
          <w:rFonts w:ascii="Arial" w:cs="Arial" w:eastAsia="Arial" w:hAnsi="Arial"/>
          <w:sz w:val="20"/>
          <w:szCs w:val="20"/>
        </w:rPr>
      </w:pPr>
      <w:r w:rsidDel="00000000" w:rsidR="00000000" w:rsidRPr="00000000">
        <w:rPr>
          <w:rFonts w:ascii="Arial" w:cs="Arial" w:eastAsia="Arial" w:hAnsi="Arial"/>
          <w:b w:val="1"/>
          <w:sz w:val="20"/>
          <w:szCs w:val="20"/>
          <w:rtl w:val="0"/>
        </w:rPr>
        <w:t xml:space="preserve">Editorial Contact: </w:t>
      </w:r>
      <w:r w:rsidDel="00000000" w:rsidR="00000000" w:rsidRPr="00000000">
        <w:rPr>
          <w:rFonts w:ascii="Arial" w:cs="Arial" w:eastAsia="Arial" w:hAnsi="Arial"/>
          <w:sz w:val="20"/>
          <w:szCs w:val="20"/>
          <w:rtl w:val="0"/>
        </w:rPr>
        <w:t xml:space="preserve">Macy McElmury</w:t>
      </w:r>
    </w:p>
    <w:p w:rsidR="00000000" w:rsidDel="00000000" w:rsidP="00000000" w:rsidRDefault="00000000" w:rsidRPr="00000000" w14:paraId="00000002">
      <w:pPr>
        <w:jc w:val="right"/>
        <w:rPr>
          <w:rFonts w:ascii="Arial" w:cs="Arial" w:eastAsia="Arial" w:hAnsi="Arial"/>
          <w:sz w:val="20"/>
          <w:szCs w:val="20"/>
        </w:rPr>
      </w:pPr>
      <w:r w:rsidDel="00000000" w:rsidR="00000000" w:rsidRPr="00000000">
        <w:rPr>
          <w:rFonts w:ascii="Arial" w:cs="Arial" w:eastAsia="Arial" w:hAnsi="Arial"/>
          <w:b w:val="1"/>
          <w:sz w:val="20"/>
          <w:szCs w:val="20"/>
          <w:rtl w:val="0"/>
        </w:rPr>
        <w:t xml:space="preserve">Email: </w:t>
      </w:r>
      <w:hyperlink r:id="rId7">
        <w:r w:rsidDel="00000000" w:rsidR="00000000" w:rsidRPr="00000000">
          <w:rPr>
            <w:rFonts w:ascii="Arial" w:cs="Arial" w:eastAsia="Arial" w:hAnsi="Arial"/>
            <w:color w:val="1155cc"/>
            <w:sz w:val="20"/>
            <w:szCs w:val="20"/>
            <w:u w:val="single"/>
            <w:rtl w:val="0"/>
          </w:rPr>
          <w:t xml:space="preserve">macym@anthologic.com</w:t>
        </w:r>
      </w:hyperlink>
      <w:r w:rsidDel="00000000" w:rsidR="00000000" w:rsidRPr="00000000">
        <w:rPr>
          <w:rtl w:val="0"/>
        </w:rPr>
      </w:r>
    </w:p>
    <w:p w:rsidR="00000000" w:rsidDel="00000000" w:rsidP="00000000" w:rsidRDefault="00000000" w:rsidRPr="00000000" w14:paraId="00000003">
      <w:pPr>
        <w:jc w:val="right"/>
        <w:rPr>
          <w:rFonts w:ascii="Arial" w:cs="Arial" w:eastAsia="Arial" w:hAnsi="Arial"/>
          <w:sz w:val="20"/>
          <w:szCs w:val="20"/>
        </w:rPr>
      </w:pPr>
      <w:r w:rsidDel="00000000" w:rsidR="00000000" w:rsidRPr="00000000">
        <w:rPr>
          <w:rFonts w:ascii="Arial" w:cs="Arial" w:eastAsia="Arial" w:hAnsi="Arial"/>
          <w:b w:val="1"/>
          <w:sz w:val="20"/>
          <w:szCs w:val="20"/>
          <w:rtl w:val="0"/>
        </w:rPr>
        <w:t xml:space="preserve">Phone: </w:t>
      </w:r>
      <w:r w:rsidDel="00000000" w:rsidR="00000000" w:rsidRPr="00000000">
        <w:rPr>
          <w:rFonts w:ascii="Arial" w:cs="Arial" w:eastAsia="Arial" w:hAnsi="Arial"/>
          <w:sz w:val="20"/>
          <w:szCs w:val="20"/>
          <w:rtl w:val="0"/>
        </w:rPr>
        <w:t xml:space="preserve">515.224.7417</w:t>
      </w:r>
    </w:p>
    <w:p w:rsidR="00000000" w:rsidDel="00000000" w:rsidP="00000000" w:rsidRDefault="00000000" w:rsidRPr="00000000" w14:paraId="00000004">
      <w:pPr>
        <w:ind w:left="-90" w:firstLine="0"/>
        <w:jc w:val="left"/>
        <w:rPr>
          <w:rFonts w:ascii="Arial" w:cs="Arial" w:eastAsia="Arial" w:hAnsi="Arial"/>
          <w:sz w:val="20"/>
          <w:szCs w:val="20"/>
        </w:rPr>
      </w:pPr>
      <w:r w:rsidDel="00000000" w:rsidR="00000000" w:rsidRPr="00000000">
        <w:rPr>
          <w:rFonts w:ascii="Arial" w:cs="Arial" w:eastAsia="Arial" w:hAnsi="Arial"/>
          <w:sz w:val="20"/>
          <w:szCs w:val="20"/>
          <w:rtl w:val="0"/>
        </w:rPr>
        <w:tab/>
        <w:tab/>
      </w:r>
    </w:p>
    <w:p w:rsidR="00000000" w:rsidDel="00000000" w:rsidP="00000000" w:rsidRDefault="00000000" w:rsidRPr="00000000" w14:paraId="00000005">
      <w:pPr>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B38 Combine Head Trailer</w:t>
      </w:r>
      <w:r w:rsidDel="00000000" w:rsidR="00000000" w:rsidRPr="00000000">
        <w:rPr>
          <w:rtl w:val="0"/>
        </w:rPr>
      </w:r>
    </w:p>
    <w:p w:rsidR="00000000" w:rsidDel="00000000" w:rsidP="00000000" w:rsidRDefault="00000000" w:rsidRPr="00000000" w14:paraId="00000006">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7">
      <w:pPr>
        <w:rPr>
          <w:rFonts w:ascii="Arial" w:cs="Arial" w:eastAsia="Arial" w:hAnsi="Arial"/>
          <w:sz w:val="20"/>
          <w:szCs w:val="20"/>
        </w:rPr>
      </w:pPr>
      <w:hyperlink r:id="rId8">
        <w:r w:rsidDel="00000000" w:rsidR="00000000" w:rsidRPr="00000000">
          <w:rPr>
            <w:rFonts w:ascii="Arial" w:cs="Arial" w:eastAsia="Arial" w:hAnsi="Arial"/>
            <w:color w:val="1155cc"/>
            <w:sz w:val="20"/>
            <w:szCs w:val="20"/>
            <w:u w:val="single"/>
            <w:rtl w:val="0"/>
          </w:rPr>
          <w:t xml:space="preserve">Stellar’s 38' Bumper Pull Combine Head Trailers </w:t>
        </w:r>
      </w:hyperlink>
      <w:r w:rsidDel="00000000" w:rsidR="00000000" w:rsidRPr="00000000">
        <w:rPr>
          <w:rFonts w:ascii="Arial" w:cs="Arial" w:eastAsia="Arial" w:hAnsi="Arial"/>
          <w:sz w:val="20"/>
          <w:szCs w:val="20"/>
          <w:rtl w:val="0"/>
        </w:rPr>
        <w:t xml:space="preserve">allow for quick and efficient transportation of combine heads to the field. Thanks to a coil spring-and-shock front suspension, vibrations are minimized and operators can count on a smooth ride. This cutting-edge suspension system, coupled with torsion rear axles, guarantees secure combine head transport even at highway speeds. </w:t>
      </w:r>
    </w:p>
    <w:p w:rsidR="00000000" w:rsidDel="00000000" w:rsidP="00000000" w:rsidRDefault="00000000" w:rsidRPr="00000000" w14:paraId="00000008">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9">
      <w:pPr>
        <w:rPr>
          <w:rFonts w:ascii="Arial" w:cs="Arial" w:eastAsia="Arial" w:hAnsi="Arial"/>
          <w:sz w:val="20"/>
          <w:szCs w:val="20"/>
        </w:rPr>
      </w:pPr>
      <w:r w:rsidDel="00000000" w:rsidR="00000000" w:rsidRPr="00000000">
        <w:rPr>
          <w:rFonts w:ascii="Arial" w:cs="Arial" w:eastAsia="Arial" w:hAnsi="Arial"/>
          <w:sz w:val="20"/>
          <w:szCs w:val="20"/>
          <w:rtl w:val="0"/>
        </w:rPr>
        <w:t xml:space="preserve">Robustly constructed for durability, the bumper pull combine head trailer features heavy-wall 4" x 10" side frame rails, capable of withstanding the demands of heavy-duty usage. Equipped with two 7,000-lb torsion flex rear axles with electric brakes and speed lube hubs ensures stability and longevity. The inclusion of two ratcheting tiedowns and straps further reinforces the combine head's stability when in transport. </w:t>
      </w:r>
    </w:p>
    <w:p w:rsidR="00000000" w:rsidDel="00000000" w:rsidP="00000000" w:rsidRDefault="00000000" w:rsidRPr="00000000" w14:paraId="0000000A">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B">
      <w:pPr>
        <w:rPr>
          <w:rFonts w:ascii="Arial" w:cs="Arial" w:eastAsia="Arial" w:hAnsi="Arial"/>
          <w:sz w:val="20"/>
          <w:szCs w:val="20"/>
        </w:rPr>
      </w:pPr>
      <w:r w:rsidDel="00000000" w:rsidR="00000000" w:rsidRPr="00000000">
        <w:rPr>
          <w:rFonts w:ascii="Arial" w:cs="Arial" w:eastAsia="Arial" w:hAnsi="Arial"/>
          <w:sz w:val="20"/>
          <w:szCs w:val="20"/>
          <w:rtl w:val="0"/>
        </w:rPr>
        <w:t xml:space="preserve">For effortless loading and unloading, four wrench-free adjustable saddles provide convenient and secure placement of the combine head. Additional axle mounting tabs offer customization options to fit various head sizes.</w:t>
      </w:r>
    </w:p>
    <w:p w:rsidR="00000000" w:rsidDel="00000000" w:rsidP="00000000" w:rsidRDefault="00000000" w:rsidRPr="00000000" w14:paraId="0000000C">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D">
      <w:pPr>
        <w:rPr>
          <w:rFonts w:ascii="Arial" w:cs="Arial" w:eastAsia="Arial" w:hAnsi="Arial"/>
          <w:sz w:val="20"/>
          <w:szCs w:val="20"/>
        </w:rPr>
      </w:pPr>
      <w:r w:rsidDel="00000000" w:rsidR="00000000" w:rsidRPr="00000000">
        <w:rPr>
          <w:rFonts w:ascii="Arial" w:cs="Arial" w:eastAsia="Arial" w:hAnsi="Arial"/>
          <w:sz w:val="20"/>
          <w:szCs w:val="20"/>
          <w:rtl w:val="0"/>
        </w:rPr>
        <w:t xml:space="preserve">LED taillights with a 7-pole plug ensure optimal visibility, promoting safe transportation even during low-light conditions. For adherence to regulatory standards, a DOT compliance package is available, ensuring users’ transportation operations align with legal requirements. DOT reflective tape comes standard.</w:t>
      </w:r>
    </w:p>
    <w:p w:rsidR="00000000" w:rsidDel="00000000" w:rsidP="00000000" w:rsidRDefault="00000000" w:rsidRPr="00000000" w14:paraId="0000000E">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F">
      <w:pPr>
        <w:rPr>
          <w:rFonts w:ascii="Arial" w:cs="Arial" w:eastAsia="Arial" w:hAnsi="Arial"/>
          <w:sz w:val="20"/>
          <w:szCs w:val="20"/>
        </w:rPr>
      </w:pPr>
      <w:r w:rsidDel="00000000" w:rsidR="00000000" w:rsidRPr="00000000">
        <w:rPr>
          <w:rFonts w:ascii="Arial" w:cs="Arial" w:eastAsia="Arial" w:hAnsi="Arial"/>
          <w:sz w:val="20"/>
          <w:szCs w:val="20"/>
          <w:rtl w:val="0"/>
        </w:rPr>
        <w:t xml:space="preserve">The user-friendly design of the interchangeable tongue end with clevis allows for easy attachment to different towing vehicles. An extendable tongue with a quick latch and safety chains ensures hassle-free coupling and uncoupling.</w:t>
      </w:r>
    </w:p>
    <w:p w:rsidR="00000000" w:rsidDel="00000000" w:rsidP="00000000" w:rsidRDefault="00000000" w:rsidRPr="00000000" w14:paraId="00000010">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1">
      <w:pPr>
        <w:rPr>
          <w:rFonts w:ascii="Arial" w:cs="Arial" w:eastAsia="Arial" w:hAnsi="Arial"/>
          <w:sz w:val="20"/>
          <w:szCs w:val="20"/>
        </w:rPr>
      </w:pPr>
      <w:r w:rsidDel="00000000" w:rsidR="00000000" w:rsidRPr="00000000">
        <w:rPr>
          <w:rFonts w:ascii="Arial" w:cs="Arial" w:eastAsia="Arial" w:hAnsi="Arial"/>
          <w:sz w:val="20"/>
          <w:szCs w:val="20"/>
          <w:rtl w:val="0"/>
        </w:rPr>
        <w:t xml:space="preserve">Sickle and front storage compartments enable users to stow tools, equipment and accessories conveniently, reducing clutter and enhancing organization. Users can choose between a sleek powder-coat finish in classic black or vibrant green, both designed to withstand the elements and resist corrosion. The trailer also features poly front fenders that not only enhance its visual appeal but also contribute to its functionality by shielding against road debris.</w:t>
      </w:r>
    </w:p>
    <w:p w:rsidR="00000000" w:rsidDel="00000000" w:rsidP="00000000" w:rsidRDefault="00000000" w:rsidRPr="00000000" w14:paraId="00000012">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3">
      <w:pPr>
        <w:rPr>
          <w:rFonts w:ascii="Arial" w:cs="Arial" w:eastAsia="Arial" w:hAnsi="Arial"/>
          <w:sz w:val="20"/>
          <w:szCs w:val="20"/>
        </w:rPr>
      </w:pPr>
      <w:r w:rsidDel="00000000" w:rsidR="00000000" w:rsidRPr="00000000">
        <w:rPr>
          <w:rFonts w:ascii="Arial" w:cs="Arial" w:eastAsia="Arial" w:hAnsi="Arial"/>
          <w:sz w:val="20"/>
          <w:szCs w:val="20"/>
          <w:rtl w:val="0"/>
        </w:rPr>
        <w:t xml:space="preserve">With a commitment to quality, innovation and efficiency, </w:t>
      </w:r>
      <w:hyperlink r:id="rId9">
        <w:r w:rsidDel="00000000" w:rsidR="00000000" w:rsidRPr="00000000">
          <w:rPr>
            <w:rFonts w:ascii="Arial" w:cs="Arial" w:eastAsia="Arial" w:hAnsi="Arial"/>
            <w:color w:val="1155cc"/>
            <w:sz w:val="20"/>
            <w:szCs w:val="20"/>
            <w:u w:val="single"/>
            <w:rtl w:val="0"/>
          </w:rPr>
          <w:t xml:space="preserve">Stellar Bumper Pull Combine Head Trailers</w:t>
        </w:r>
      </w:hyperlink>
      <w:r w:rsidDel="00000000" w:rsidR="00000000" w:rsidRPr="00000000">
        <w:rPr>
          <w:rFonts w:ascii="Arial" w:cs="Arial" w:eastAsia="Arial" w:hAnsi="Arial"/>
          <w:sz w:val="20"/>
          <w:szCs w:val="20"/>
          <w:rtl w:val="0"/>
        </w:rPr>
        <w:t xml:space="preserve"> are engineered to empower users to transport their combine head with confidence and ease. </w:t>
      </w:r>
    </w:p>
    <w:p w:rsidR="00000000" w:rsidDel="00000000" w:rsidP="00000000" w:rsidRDefault="00000000" w:rsidRPr="00000000" w14:paraId="00000014">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5">
      <w:pPr>
        <w:rPr>
          <w:rFonts w:ascii="Arial" w:cs="Arial" w:eastAsia="Arial" w:hAnsi="Arial"/>
          <w:b w:val="1"/>
          <w:sz w:val="20"/>
          <w:szCs w:val="20"/>
        </w:rPr>
      </w:pPr>
      <w:r w:rsidDel="00000000" w:rsidR="00000000" w:rsidRPr="00000000">
        <w:rPr>
          <w:rFonts w:ascii="Arial" w:cs="Arial" w:eastAsia="Arial" w:hAnsi="Arial"/>
          <w:sz w:val="20"/>
          <w:szCs w:val="20"/>
          <w:rtl w:val="0"/>
        </w:rPr>
        <w:t xml:space="preserve">For more information on Stellar Bumper Pull Combine Head Trailers, visit </w:t>
      </w:r>
      <w:hyperlink r:id="rId10">
        <w:r w:rsidDel="00000000" w:rsidR="00000000" w:rsidRPr="00000000">
          <w:rPr>
            <w:rFonts w:ascii="Arial" w:cs="Arial" w:eastAsia="Arial" w:hAnsi="Arial"/>
            <w:color w:val="1155cc"/>
            <w:sz w:val="20"/>
            <w:szCs w:val="20"/>
            <w:u w:val="single"/>
            <w:rtl w:val="0"/>
          </w:rPr>
          <w:t xml:space="preserve">stellarindustries.com</w:t>
        </w:r>
      </w:hyperlink>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16">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7">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1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19">
      <w:pPr>
        <w:spacing w:line="276"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A">
      <w:pPr>
        <w:rPr>
          <w:rFonts w:ascii="Arial" w:cs="Arial" w:eastAsia="Arial" w:hAnsi="Arial"/>
          <w:sz w:val="20"/>
          <w:szCs w:val="20"/>
        </w:rPr>
      </w:pPr>
      <w:r w:rsidDel="00000000" w:rsidR="00000000" w:rsidRPr="00000000">
        <w:rPr>
          <w:rFonts w:ascii="Arial" w:cs="Arial" w:eastAsia="Arial" w:hAnsi="Arial"/>
          <w:i w:val="1"/>
          <w:color w:val="222222"/>
          <w:sz w:val="20"/>
          <w:szCs w:val="20"/>
          <w:highlight w:val="white"/>
          <w:rtl w:val="0"/>
        </w:rPr>
        <w:t xml:space="preserve">Stellar was founded in 1990 in Garner, Iowa, and has since expanded operations to multiple U.S. locations. Stellar is a 100% employee-owned and -operated manufacturer of high-quality work trucks, service cranes and accessories, in addition to trailers. Through the innovative, growing product line and an expanding distribution network, the company has gained an international presence and become the No. 1 productivity choice in many markets. </w:t>
      </w:r>
      <w:r w:rsidDel="00000000" w:rsidR="00000000" w:rsidRPr="00000000">
        <w:rPr>
          <w:rtl w:val="0"/>
        </w:rPr>
      </w:r>
    </w:p>
    <w:p w:rsidR="00000000" w:rsidDel="00000000" w:rsidP="00000000" w:rsidRDefault="00000000" w:rsidRPr="00000000" w14:paraId="0000001B">
      <w:pPr>
        <w:rPr>
          <w:rFonts w:ascii="Arial" w:cs="Arial" w:eastAsia="Arial" w:hAnsi="Arial"/>
          <w:sz w:val="20"/>
          <w:szCs w:val="20"/>
        </w:rPr>
      </w:pP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drawing>
        <wp:inline distB="0" distT="0" distL="0" distR="0">
          <wp:extent cx="8254328" cy="741436"/>
          <wp:effectExtent b="0" l="0" r="0" t="0"/>
          <wp:docPr id="10" name="image2.png"/>
          <a:graphic>
            <a:graphicData uri="http://schemas.openxmlformats.org/drawingml/2006/picture">
              <pic:pic>
                <pic:nvPicPr>
                  <pic:cNvPr id="0" name="image2.png"/>
                  <pic:cNvPicPr preferRelativeResize="0"/>
                </pic:nvPicPr>
                <pic:blipFill>
                  <a:blip r:embed="rId1"/>
                  <a:srcRect b="-15978" l="3665" r="0" t="1"/>
                  <a:stretch>
                    <a:fillRect/>
                  </a:stretch>
                </pic:blipFill>
                <pic:spPr>
                  <a:xfrm>
                    <a:off x="0" y="0"/>
                    <a:ext cx="8254328" cy="741436"/>
                  </a:xfrm>
                  <a:prstGeom prst="rect"/>
                  <a:ln/>
                </pic:spPr>
              </pic:pic>
            </a:graphicData>
          </a:graphic>
        </wp:inline>
      </w:drawing>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
      <w:tblW w:w="9350.0" w:type="dxa"/>
      <w:jc w:val="left"/>
      <w:tblBorders>
        <w:top w:color="000000" w:space="0" w:sz="0" w:val="nil"/>
        <w:left w:color="000000" w:space="0" w:sz="0" w:val="nil"/>
        <w:bottom w:color="000000" w:space="0" w:sz="0" w:val="nil"/>
        <w:right w:color="000000" w:space="0" w:sz="0" w:val="nil"/>
        <w:insideH w:color="000000" w:space="0" w:sz="0" w:val="nil"/>
        <w:insideV w:color="4d4d4c" w:space="0" w:sz="8" w:val="single"/>
      </w:tblBorders>
      <w:tblLayout w:type="fixed"/>
      <w:tblLook w:val="0400"/>
    </w:tblPr>
    <w:tblGrid>
      <w:gridCol w:w="3780"/>
      <w:gridCol w:w="5570"/>
      <w:tblGridChange w:id="0">
        <w:tblGrid>
          <w:gridCol w:w="3780"/>
          <w:gridCol w:w="5570"/>
        </w:tblGrid>
      </w:tblGridChange>
    </w:tblGrid>
    <w:tr>
      <w:trPr>
        <w:cantSplit w:val="0"/>
        <w:trHeight w:val="180" w:hRule="atLeast"/>
        <w:tblHeader w:val="0"/>
      </w:trP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drawing>
              <wp:inline distB="114300" distT="114300" distL="114300" distR="114300">
                <wp:extent cx="2266950" cy="914400"/>
                <wp:effectExtent b="0" l="0" r="0" t="0"/>
                <wp:docPr id="9"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266950" cy="9144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76" w:lineRule="auto"/>
            <w:ind w:left="0" w:right="0" w:firstLine="0"/>
            <w:jc w:val="left"/>
            <w:rPr>
              <w:rFonts w:ascii="Arial" w:cs="Arial" w:eastAsia="Arial" w:hAnsi="Arial"/>
              <w:b w:val="0"/>
              <w:i w:val="0"/>
              <w:smallCaps w:val="0"/>
              <w:strike w:val="0"/>
              <w:color w:val="4d4d4c"/>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76" w:lineRule="auto"/>
            <w:ind w:left="0" w:right="0" w:firstLine="0"/>
            <w:jc w:val="left"/>
            <w:rPr>
              <w:rFonts w:ascii="Arial" w:cs="Arial" w:eastAsia="Arial" w:hAnsi="Arial"/>
              <w:b w:val="0"/>
              <w:i w:val="0"/>
              <w:smallCaps w:val="0"/>
              <w:strike w:val="0"/>
              <w:color w:val="4d4d4c"/>
              <w:sz w:val="20"/>
              <w:szCs w:val="20"/>
              <w:u w:val="none"/>
              <w:shd w:fill="auto" w:val="clear"/>
              <w:vertAlign w:val="baseline"/>
            </w:rPr>
          </w:pPr>
          <w:r w:rsidDel="00000000" w:rsidR="00000000" w:rsidRPr="00000000">
            <w:rPr>
              <w:rFonts w:ascii="Arial" w:cs="Arial" w:eastAsia="Arial" w:hAnsi="Arial"/>
              <w:b w:val="0"/>
              <w:i w:val="0"/>
              <w:smallCaps w:val="0"/>
              <w:strike w:val="0"/>
              <w:color w:val="4d4d4c"/>
              <w:sz w:val="20"/>
              <w:szCs w:val="20"/>
              <w:u w:val="none"/>
              <w:shd w:fill="auto" w:val="clear"/>
              <w:vertAlign w:val="baseline"/>
              <w:rtl w:val="0"/>
            </w:rPr>
            <w:t xml:space="preserve">         </w:t>
          </w:r>
          <w:hyperlink r:id="rId2">
            <w:r w:rsidDel="00000000" w:rsidR="00000000" w:rsidRPr="00000000">
              <w:rPr>
                <w:rFonts w:ascii="Arial" w:cs="Arial" w:eastAsia="Arial" w:hAnsi="Arial"/>
                <w:b w:val="0"/>
                <w:i w:val="0"/>
                <w:smallCaps w:val="0"/>
                <w:strike w:val="0"/>
                <w:color w:val="1155cc"/>
                <w:sz w:val="20"/>
                <w:szCs w:val="20"/>
                <w:u w:val="single"/>
                <w:shd w:fill="auto" w:val="clear"/>
                <w:vertAlign w:val="baseline"/>
                <w:rtl w:val="0"/>
              </w:rPr>
              <w:t xml:space="preserve">stellarindustries.com</w:t>
            </w:r>
          </w:hyperlink>
          <w:r w:rsidDel="00000000" w:rsidR="00000000" w:rsidRPr="00000000">
            <w:rPr>
              <w:rFonts w:ascii="Arial" w:cs="Arial" w:eastAsia="Arial" w:hAnsi="Arial"/>
              <w:b w:val="0"/>
              <w:i w:val="0"/>
              <w:smallCaps w:val="0"/>
              <w:strike w:val="0"/>
              <w:color w:val="4d4d4c"/>
              <w:sz w:val="20"/>
              <w:szCs w:val="20"/>
              <w:u w:val="none"/>
              <w:shd w:fill="auto" w:val="clear"/>
              <w:vertAlign w:val="baseline"/>
              <w:rtl w:val="0"/>
            </w:rPr>
            <w:t xml:space="preserve"> | 800.321.3741</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4d4d4c"/>
              <w:sz w:val="20"/>
              <w:szCs w:val="20"/>
              <w:u w:val="none"/>
              <w:shd w:fill="auto" w:val="clear"/>
              <w:vertAlign w:val="baseline"/>
              <w:rtl w:val="0"/>
            </w:rPr>
            <w:t xml:space="preserve">         190 State St, Garner, IA 50438</w:t>
          </w:r>
          <w:r w:rsidDel="00000000" w:rsidR="00000000" w:rsidRPr="00000000">
            <w:rPr>
              <w:rtl w:val="0"/>
            </w:rPr>
          </w:r>
        </w:p>
      </w:tc>
    </w:tr>
  </w:tbl>
  <w:p w:rsidR="00000000" w:rsidDel="00000000" w:rsidP="00000000" w:rsidRDefault="00000000" w:rsidRPr="00000000" w14:paraId="00000021">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1"/>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0714C2"/>
    <w:pPr>
      <w:tabs>
        <w:tab w:val="center" w:pos="4680"/>
        <w:tab w:val="right" w:pos="9360"/>
      </w:tabs>
    </w:pPr>
  </w:style>
  <w:style w:type="character" w:styleId="HeaderChar" w:customStyle="1">
    <w:name w:val="Header Char"/>
    <w:basedOn w:val="DefaultParagraphFont"/>
    <w:link w:val="Header"/>
    <w:uiPriority w:val="99"/>
    <w:rsid w:val="000714C2"/>
  </w:style>
  <w:style w:type="paragraph" w:styleId="Footer">
    <w:name w:val="footer"/>
    <w:basedOn w:val="Normal"/>
    <w:link w:val="FooterChar"/>
    <w:uiPriority w:val="99"/>
    <w:unhideWhenUsed w:val="1"/>
    <w:rsid w:val="000714C2"/>
    <w:pPr>
      <w:tabs>
        <w:tab w:val="center" w:pos="4680"/>
        <w:tab w:val="right" w:pos="9360"/>
      </w:tabs>
    </w:pPr>
  </w:style>
  <w:style w:type="character" w:styleId="FooterChar" w:customStyle="1">
    <w:name w:val="Footer Char"/>
    <w:basedOn w:val="DefaultParagraphFont"/>
    <w:link w:val="Footer"/>
    <w:uiPriority w:val="99"/>
    <w:rsid w:val="000714C2"/>
  </w:style>
  <w:style w:type="table" w:styleId="TableGrid">
    <w:name w:val="Table Grid"/>
    <w:basedOn w:val="TableNormal"/>
    <w:uiPriority w:val="39"/>
    <w:rsid w:val="000714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sid w:val="000714C2"/>
    <w:rPr>
      <w:rFonts w:asciiTheme="majorHAnsi" w:cstheme="majorBidi" w:eastAsiaTheme="majorEastAsia" w:hAnsiTheme="majorHAnsi"/>
      <w:color w:val="2f5496" w:themeColor="accent1" w:themeShade="0000BF"/>
      <w:sz w:val="32"/>
      <w:szCs w:val="32"/>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www.stellarindustries.com/product-category/combine-head-trailers/bumper-pull-trailers/" TargetMode="External"/><Relationship Id="rId13" Type="http://schemas.openxmlformats.org/officeDocument/2006/relationships/header" Target="head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stellarindustries.com/product-category/combine-head-trailers/bumper-pull-trailers/" TargetMode="External"/><Relationship Id="rId15" Type="http://schemas.openxmlformats.org/officeDocument/2006/relationships/footer" Target="footer2.xml"/><Relationship Id="rId14" Type="http://schemas.openxmlformats.org/officeDocument/2006/relationships/footer" Target="footer1.xml"/><Relationship Id="rId16"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macym@anthologic.com" TargetMode="External"/><Relationship Id="rId8" Type="http://schemas.openxmlformats.org/officeDocument/2006/relationships/hyperlink" Target="https://www.stellarindustries.com/products/combine-head-trailers/bumper-pull-trailers/b38/"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hyperlink" Target="https://www.stellarindustri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rzpaMTJv56eKzvnTMG+6B+LmVw==">CgMxLjA4AHIhMWlsWkxVMVNlaUx0VGl3Qm1GSFMyMGoycldXU3VPWTRq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2022-05-05T19:25:00Z</dcterms:created>
  <dc:creator>Kelsey Meyer</dc:creator>
</cp:coreProperties>
</file>